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page" w:horzAnchor="margin" w:tblpXSpec="center" w:tblpY="793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6951"/>
        <w:gridCol w:w="1696"/>
      </w:tblGrid>
      <w:tr w:rsidR="0097161D" w:rsidRPr="00F71CA1" w14:paraId="2A399C24" w14:textId="77777777" w:rsidTr="000C589F">
        <w:trPr>
          <w:trHeight w:val="1980"/>
        </w:trPr>
        <w:tc>
          <w:tcPr>
            <w:tcW w:w="1838" w:type="dxa"/>
          </w:tcPr>
          <w:p w14:paraId="6798590A" w14:textId="77DEB0F9" w:rsidR="00EF766E" w:rsidRDefault="0090716C" w:rsidP="00F84C62">
            <w:pPr>
              <w:jc w:val="both"/>
              <w:rPr>
                <w:rFonts w:cs="Times New Roman"/>
                <w:bCs/>
                <w:noProof/>
                <w:sz w:val="28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48742B66" wp14:editId="759B14CB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160020</wp:posOffset>
                  </wp:positionV>
                  <wp:extent cx="1341120" cy="800100"/>
                  <wp:effectExtent l="0" t="0" r="0" b="0"/>
                  <wp:wrapNone/>
                  <wp:docPr id="2" name="Рисунок 2" descr="Результаты проектов – Институт информационных и вычислительных технолог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езультаты проектов – Институт информационных и вычислительных технолог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9CCAA5" w14:textId="21453A6A" w:rsidR="0097161D" w:rsidRPr="00D06386" w:rsidRDefault="0097161D" w:rsidP="00F84C62">
            <w:pPr>
              <w:jc w:val="both"/>
              <w:rPr>
                <w:rFonts w:cs="Times New Roman"/>
                <w:bCs/>
                <w:sz w:val="28"/>
                <w:szCs w:val="24"/>
                <w:lang w:val="en-US"/>
              </w:rPr>
            </w:pPr>
          </w:p>
        </w:tc>
        <w:tc>
          <w:tcPr>
            <w:tcW w:w="6951" w:type="dxa"/>
          </w:tcPr>
          <w:p w14:paraId="34EEBC51" w14:textId="3531F8ED" w:rsidR="00D06075" w:rsidRDefault="0090716C" w:rsidP="00D06075">
            <w:pPr>
              <w:ind w:left="176"/>
              <w:jc w:val="center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90716C">
              <w:rPr>
                <w:rFonts w:cs="Times New Roman"/>
                <w:bCs/>
                <w:sz w:val="26"/>
                <w:szCs w:val="26"/>
                <w:lang w:val="kk-KZ"/>
              </w:rPr>
              <w:t xml:space="preserve">Institute of Information and Computational Technologies </w:t>
            </w:r>
            <w:r w:rsidR="00D06075" w:rsidRPr="00D06075">
              <w:rPr>
                <w:rFonts w:cs="Times New Roman"/>
                <w:bCs/>
                <w:sz w:val="26"/>
                <w:szCs w:val="26"/>
                <w:lang w:val="kk-KZ"/>
              </w:rPr>
              <w:t>, Kazakhstan</w:t>
            </w:r>
          </w:p>
          <w:p w14:paraId="59276B98" w14:textId="77777777" w:rsidR="0090716C" w:rsidRPr="0090716C" w:rsidRDefault="0090716C" w:rsidP="00D06075">
            <w:pPr>
              <w:ind w:left="176"/>
              <w:jc w:val="center"/>
              <w:rPr>
                <w:rFonts w:cs="Times New Roman"/>
                <w:bCs/>
                <w:sz w:val="14"/>
                <w:szCs w:val="26"/>
                <w:lang w:val="kk-KZ"/>
              </w:rPr>
            </w:pPr>
          </w:p>
          <w:p w14:paraId="45BB4E36" w14:textId="77777777" w:rsidR="00D06075" w:rsidRDefault="00D06075" w:rsidP="00D06075">
            <w:pPr>
              <w:ind w:left="176"/>
              <w:jc w:val="center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D06075">
              <w:rPr>
                <w:rFonts w:cs="Times New Roman"/>
                <w:bCs/>
                <w:sz w:val="26"/>
                <w:szCs w:val="26"/>
                <w:lang w:val="kk-KZ"/>
              </w:rPr>
              <w:t xml:space="preserve">International Mathematical Center SB RAS, Russia </w:t>
            </w:r>
          </w:p>
          <w:p w14:paraId="58579BB5" w14:textId="77777777" w:rsidR="0090716C" w:rsidRPr="0090716C" w:rsidRDefault="0090716C" w:rsidP="00D06075">
            <w:pPr>
              <w:ind w:left="176"/>
              <w:jc w:val="center"/>
              <w:rPr>
                <w:rFonts w:cs="Times New Roman"/>
                <w:bCs/>
                <w:sz w:val="14"/>
                <w:szCs w:val="26"/>
                <w:lang w:val="kk-KZ"/>
              </w:rPr>
            </w:pPr>
          </w:p>
          <w:p w14:paraId="444DC13A" w14:textId="1FA619F6" w:rsidR="0097161D" w:rsidRPr="00D06075" w:rsidRDefault="00D06075" w:rsidP="00D06075">
            <w:pPr>
              <w:ind w:left="176"/>
              <w:jc w:val="center"/>
              <w:rPr>
                <w:rFonts w:cs="Times New Roman"/>
                <w:bCs/>
                <w:sz w:val="28"/>
                <w:szCs w:val="24"/>
                <w:lang w:val="kk-KZ"/>
              </w:rPr>
            </w:pPr>
            <w:r w:rsidRPr="00D06075">
              <w:rPr>
                <w:rFonts w:cs="Times New Roman"/>
                <w:bCs/>
                <w:sz w:val="26"/>
                <w:szCs w:val="26"/>
                <w:lang w:val="kk-KZ"/>
              </w:rPr>
              <w:t>International Foundation of Inverse Problems, Kazakhstan</w:t>
            </w:r>
          </w:p>
        </w:tc>
        <w:tc>
          <w:tcPr>
            <w:tcW w:w="1696" w:type="dxa"/>
          </w:tcPr>
          <w:p w14:paraId="75FA9BD8" w14:textId="77777777" w:rsidR="0097161D" w:rsidRDefault="0097161D" w:rsidP="00F84C62">
            <w:pPr>
              <w:jc w:val="both"/>
              <w:rPr>
                <w:rFonts w:cs="Times New Roman"/>
                <w:bCs/>
                <w:sz w:val="28"/>
                <w:szCs w:val="24"/>
                <w:lang w:val="kk-KZ"/>
              </w:rPr>
            </w:pPr>
            <w:r w:rsidRPr="005E3DB3">
              <w:rPr>
                <w:b/>
                <w:noProof/>
                <w:sz w:val="4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5AAAAE87" wp14:editId="0DCA72FD">
                  <wp:simplePos x="0" y="0"/>
                  <wp:positionH relativeFrom="column">
                    <wp:posOffset>46143</wp:posOffset>
                  </wp:positionH>
                  <wp:positionV relativeFrom="paragraph">
                    <wp:posOffset>38735</wp:posOffset>
                  </wp:positionV>
                  <wp:extent cx="776239" cy="1145116"/>
                  <wp:effectExtent l="0" t="0" r="5080" b="0"/>
                  <wp:wrapNone/>
                  <wp:docPr id="1" name="Рисунок 1" descr="https://www.kaznu.kz/content/images/pages/632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kaznu.kz/content/images/pages/632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239" cy="1145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03E4" w14:paraId="2BF2F008" w14:textId="77777777" w:rsidTr="000C589F">
        <w:trPr>
          <w:trHeight w:val="2170"/>
        </w:trPr>
        <w:tc>
          <w:tcPr>
            <w:tcW w:w="10485" w:type="dxa"/>
            <w:gridSpan w:val="3"/>
          </w:tcPr>
          <w:p w14:paraId="50C75EAD" w14:textId="69F432F3" w:rsidR="00D06075" w:rsidRDefault="00F34B0A" w:rsidP="00F84C62">
            <w:pPr>
              <w:jc w:val="center"/>
              <w:rPr>
                <w:rFonts w:cs="Times New Roman"/>
                <w:bCs/>
                <w:sz w:val="36"/>
                <w:szCs w:val="36"/>
                <w:lang w:val="kk-KZ"/>
              </w:rPr>
            </w:pPr>
            <w:r w:rsidRPr="00F34B0A">
              <w:rPr>
                <w:rFonts w:cs="Times New Roman"/>
                <w:bCs/>
                <w:sz w:val="36"/>
                <w:szCs w:val="36"/>
                <w:lang w:val="kk-KZ"/>
              </w:rPr>
              <w:t>International</w:t>
            </w:r>
            <w:r w:rsidRPr="00D06075">
              <w:rPr>
                <w:rFonts w:cs="Times New Roman"/>
                <w:bCs/>
                <w:sz w:val="26"/>
                <w:szCs w:val="26"/>
                <w:lang w:val="kk-KZ"/>
              </w:rPr>
              <w:t xml:space="preserve"> </w:t>
            </w:r>
            <w:r w:rsidR="00E533DC">
              <w:rPr>
                <w:rFonts w:cs="Times New Roman"/>
                <w:bCs/>
                <w:sz w:val="36"/>
                <w:szCs w:val="36"/>
                <w:lang w:val="en-US"/>
              </w:rPr>
              <w:t>S</w:t>
            </w:r>
            <w:r w:rsidR="00E533DC">
              <w:rPr>
                <w:rFonts w:cs="Times New Roman"/>
                <w:bCs/>
                <w:sz w:val="36"/>
                <w:szCs w:val="36"/>
                <w:lang w:val="kk-KZ"/>
              </w:rPr>
              <w:t xml:space="preserve">cientific </w:t>
            </w:r>
            <w:r w:rsidR="00E533DC">
              <w:rPr>
                <w:rFonts w:cs="Times New Roman"/>
                <w:bCs/>
                <w:sz w:val="36"/>
                <w:szCs w:val="36"/>
                <w:lang w:val="en-US"/>
              </w:rPr>
              <w:t>C</w:t>
            </w:r>
            <w:r w:rsidR="00D06075">
              <w:rPr>
                <w:rFonts w:cs="Times New Roman"/>
                <w:bCs/>
                <w:sz w:val="36"/>
                <w:szCs w:val="36"/>
                <w:lang w:val="kk-KZ"/>
              </w:rPr>
              <w:t xml:space="preserve">onference </w:t>
            </w:r>
          </w:p>
          <w:p w14:paraId="6CA735FD" w14:textId="794395A2" w:rsidR="0050238A" w:rsidRPr="00D06075" w:rsidRDefault="00F34B0A" w:rsidP="00D06075">
            <w:pPr>
              <w:jc w:val="center"/>
              <w:rPr>
                <w:lang w:val="en-US"/>
              </w:rPr>
            </w:pPr>
            <w:r w:rsidRPr="005748B9">
              <w:rPr>
                <w:rFonts w:cs="Times New Roman"/>
                <w:b/>
                <w:bCs/>
                <w:color w:val="0070C0"/>
                <w:sz w:val="36"/>
                <w:szCs w:val="36"/>
                <w:lang w:val="kk-KZ"/>
              </w:rPr>
              <w:t>“</w:t>
            </w:r>
            <w:r w:rsidRPr="00F34B0A">
              <w:rPr>
                <w:b/>
                <w:color w:val="0070C0"/>
                <w:sz w:val="32"/>
                <w:szCs w:val="32"/>
                <w:lang w:val="kk-KZ"/>
              </w:rPr>
              <w:t>Inverse and Ill-Posed Problems: Theory, Applications and AI</w:t>
            </w:r>
            <w:r w:rsidRPr="005748B9">
              <w:rPr>
                <w:rFonts w:cs="Times New Roman"/>
                <w:b/>
                <w:bCs/>
                <w:color w:val="0070C0"/>
                <w:sz w:val="36"/>
                <w:szCs w:val="36"/>
                <w:lang w:val="kk-KZ"/>
              </w:rPr>
              <w:t>”</w:t>
            </w:r>
            <w:r w:rsidR="00C661FD" w:rsidRPr="00D06075">
              <w:rPr>
                <w:b/>
                <w:sz w:val="36"/>
                <w:szCs w:val="36"/>
                <w:lang w:val="en-US"/>
              </w:rPr>
              <w:t xml:space="preserve">  </w:t>
            </w:r>
            <w:r w:rsidR="0050238A" w:rsidRPr="00D06075">
              <w:rPr>
                <w:lang w:val="en-US"/>
              </w:rPr>
              <w:t xml:space="preserve"> </w:t>
            </w:r>
          </w:p>
          <w:p w14:paraId="14A64943" w14:textId="7D5A1423" w:rsidR="00C661FD" w:rsidRPr="00C661FD" w:rsidRDefault="00AE6B27" w:rsidP="00F84C62">
            <w:pPr>
              <w:jc w:val="center"/>
              <w:rPr>
                <w:rFonts w:cs="Times New Roman"/>
                <w:b/>
                <w:i/>
                <w:iCs/>
                <w:sz w:val="16"/>
                <w:szCs w:val="16"/>
                <w:lang w:val="kk-KZ"/>
              </w:rPr>
            </w:pPr>
            <w:r w:rsidRPr="00AE6B27">
              <w:rPr>
                <w:rFonts w:cs="Times New Roman"/>
                <w:b/>
                <w:sz w:val="28"/>
                <w:szCs w:val="24"/>
                <w:lang w:val="kk-KZ"/>
              </w:rPr>
              <w:t>Shymkent</w:t>
            </w:r>
            <w:r w:rsidR="00D06075" w:rsidRPr="002F648D">
              <w:rPr>
                <w:rFonts w:cs="Times New Roman"/>
                <w:b/>
                <w:sz w:val="28"/>
                <w:szCs w:val="24"/>
                <w:lang w:val="kk-KZ"/>
              </w:rPr>
              <w:t xml:space="preserve">, April </w:t>
            </w:r>
            <w:r>
              <w:rPr>
                <w:rFonts w:cs="Times New Roman"/>
                <w:b/>
                <w:sz w:val="28"/>
                <w:szCs w:val="24"/>
                <w:lang w:val="kk-KZ"/>
              </w:rPr>
              <w:t>3</w:t>
            </w:r>
            <w:r w:rsidR="00D06075" w:rsidRPr="002F648D">
              <w:rPr>
                <w:rFonts w:cs="Times New Roman"/>
                <w:b/>
                <w:sz w:val="28"/>
                <w:szCs w:val="24"/>
                <w:lang w:val="kk-KZ"/>
              </w:rPr>
              <w:t>-</w:t>
            </w:r>
            <w:r>
              <w:rPr>
                <w:rFonts w:cs="Times New Roman"/>
                <w:b/>
                <w:sz w:val="28"/>
                <w:szCs w:val="24"/>
                <w:lang w:val="kk-KZ"/>
              </w:rPr>
              <w:t>7</w:t>
            </w:r>
            <w:r w:rsidR="00D06075" w:rsidRPr="002F648D">
              <w:rPr>
                <w:rFonts w:cs="Times New Roman"/>
                <w:b/>
                <w:sz w:val="28"/>
                <w:szCs w:val="24"/>
                <w:lang w:val="kk-KZ"/>
              </w:rPr>
              <w:t>, 202</w:t>
            </w:r>
            <w:r>
              <w:rPr>
                <w:rFonts w:cs="Times New Roman"/>
                <w:b/>
                <w:sz w:val="28"/>
                <w:szCs w:val="24"/>
                <w:lang w:val="kk-KZ"/>
              </w:rPr>
              <w:t>6</w:t>
            </w:r>
          </w:p>
          <w:p w14:paraId="4AA4B650" w14:textId="2EFB5A31" w:rsidR="00C661FD" w:rsidRPr="00DE3DCA" w:rsidRDefault="00C661FD" w:rsidP="00C661FD">
            <w:pPr>
              <w:jc w:val="center"/>
              <w:rPr>
                <w:rFonts w:cs="Times New Roman"/>
                <w:b/>
                <w:i/>
                <w:iCs/>
                <w:sz w:val="28"/>
                <w:szCs w:val="24"/>
                <w:lang w:val="kk-KZ"/>
              </w:rPr>
            </w:pPr>
          </w:p>
        </w:tc>
      </w:tr>
      <w:tr w:rsidR="0097161D" w:rsidRPr="00D06075" w14:paraId="1E717880" w14:textId="77777777" w:rsidTr="000C589F">
        <w:trPr>
          <w:trHeight w:val="10037"/>
        </w:trPr>
        <w:tc>
          <w:tcPr>
            <w:tcW w:w="10485" w:type="dxa"/>
            <w:gridSpan w:val="3"/>
          </w:tcPr>
          <w:p w14:paraId="7CAFE08B" w14:textId="2E5E9BF9" w:rsidR="00E22396" w:rsidRDefault="00912F6F" w:rsidP="000C589F">
            <w:pPr>
              <w:ind w:firstLine="164"/>
              <w:jc w:val="center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90716C">
              <w:rPr>
                <w:rFonts w:cs="Times New Roman"/>
                <w:b/>
                <w:sz w:val="28"/>
                <w:szCs w:val="24"/>
                <w:lang w:val="en-US"/>
              </w:rPr>
              <w:t>The second</w:t>
            </w:r>
            <w:r w:rsidR="00D06075" w:rsidRPr="0090716C">
              <w:rPr>
                <w:rFonts w:cs="Times New Roman"/>
                <w:b/>
                <w:sz w:val="28"/>
                <w:szCs w:val="24"/>
                <w:lang w:val="kk-KZ"/>
              </w:rPr>
              <w:t xml:space="preserve"> information letter</w:t>
            </w:r>
          </w:p>
          <w:p w14:paraId="5A935FE4" w14:textId="77777777" w:rsidR="00D06075" w:rsidRDefault="00D06075" w:rsidP="000C589F">
            <w:pPr>
              <w:ind w:firstLine="284"/>
              <w:jc w:val="center"/>
              <w:rPr>
                <w:rFonts w:cs="Times New Roman"/>
                <w:bCs/>
                <w:sz w:val="26"/>
                <w:szCs w:val="26"/>
                <w:lang w:val="kk-KZ"/>
              </w:rPr>
            </w:pPr>
          </w:p>
          <w:p w14:paraId="2AEFCFBC" w14:textId="2C9E5B2B" w:rsidR="00D06075" w:rsidRPr="00D06075" w:rsidRDefault="0090716C" w:rsidP="000C589F">
            <w:pPr>
              <w:ind w:firstLine="284"/>
              <w:jc w:val="both"/>
              <w:rPr>
                <w:rFonts w:cs="Times New Roman"/>
                <w:b/>
                <w:bCs/>
                <w:color w:val="0070C0"/>
                <w:sz w:val="26"/>
                <w:szCs w:val="26"/>
                <w:lang w:val="kk-KZ"/>
              </w:rPr>
            </w:pPr>
            <w:r w:rsidRPr="0090716C">
              <w:rPr>
                <w:rFonts w:cs="Times New Roman"/>
                <w:sz w:val="26"/>
                <w:szCs w:val="26"/>
                <w:lang w:val="kk-KZ"/>
              </w:rPr>
              <w:t>The Organizing Committee invites you to take part in the International Scientific Conference</w:t>
            </w:r>
            <w:r w:rsidRPr="00D06075">
              <w:rPr>
                <w:rFonts w:cs="Times New Roman"/>
                <w:b/>
                <w:bCs/>
                <w:color w:val="0070C0"/>
                <w:sz w:val="26"/>
                <w:szCs w:val="26"/>
                <w:lang w:val="kk-KZ"/>
              </w:rPr>
              <w:t xml:space="preserve"> </w:t>
            </w:r>
            <w:r w:rsidR="000C589F" w:rsidRPr="00D06075">
              <w:rPr>
                <w:rFonts w:cs="Times New Roman"/>
                <w:b/>
                <w:bCs/>
                <w:color w:val="0070C0"/>
                <w:sz w:val="26"/>
                <w:szCs w:val="26"/>
                <w:lang w:val="kk-KZ"/>
              </w:rPr>
              <w:t>“</w:t>
            </w:r>
            <w:r w:rsidR="000C589F" w:rsidRPr="000C589F">
              <w:rPr>
                <w:rFonts w:cs="Times New Roman"/>
                <w:b/>
                <w:bCs/>
                <w:color w:val="0070C0"/>
                <w:sz w:val="26"/>
                <w:szCs w:val="26"/>
                <w:lang w:val="kk-KZ"/>
              </w:rPr>
              <w:t>Inverse</w:t>
            </w:r>
            <w:r w:rsidR="00F34B0A" w:rsidRPr="00F34B0A">
              <w:rPr>
                <w:rFonts w:cs="Times New Roman"/>
                <w:b/>
                <w:bCs/>
                <w:color w:val="0070C0"/>
                <w:sz w:val="26"/>
                <w:szCs w:val="26"/>
                <w:lang w:val="kk-KZ"/>
              </w:rPr>
              <w:t xml:space="preserve"> and Ill-Posed Problems: Theory, Applications and AI</w:t>
            </w:r>
            <w:r w:rsidR="00D06075" w:rsidRPr="00D06075">
              <w:rPr>
                <w:rFonts w:cs="Times New Roman"/>
                <w:b/>
                <w:bCs/>
                <w:color w:val="0070C0"/>
                <w:sz w:val="26"/>
                <w:szCs w:val="26"/>
                <w:lang w:val="kk-KZ"/>
              </w:rPr>
              <w:t>”</w:t>
            </w:r>
            <w:r w:rsidR="00D06075" w:rsidRPr="00D06075">
              <w:rPr>
                <w:rFonts w:cs="Times New Roman"/>
                <w:bCs/>
                <w:sz w:val="26"/>
                <w:szCs w:val="26"/>
                <w:lang w:val="kk-KZ"/>
              </w:rPr>
              <w:t>.</w:t>
            </w:r>
          </w:p>
          <w:p w14:paraId="526C6D21" w14:textId="4D011997" w:rsidR="00D06075" w:rsidRPr="00D06075" w:rsidRDefault="00D06075" w:rsidP="000C589F">
            <w:pPr>
              <w:ind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D06075">
              <w:rPr>
                <w:rFonts w:cs="Times New Roman"/>
                <w:b/>
                <w:color w:val="0070C0"/>
                <w:sz w:val="26"/>
                <w:szCs w:val="26"/>
                <w:lang w:val="kk-KZ"/>
              </w:rPr>
              <w:t>The purpose of the conference</w:t>
            </w:r>
            <w:r w:rsidRPr="00D06075">
              <w:rPr>
                <w:rFonts w:cs="Times New Roman"/>
                <w:sz w:val="26"/>
                <w:szCs w:val="26"/>
                <w:lang w:val="kk-KZ"/>
              </w:rPr>
              <w:t xml:space="preserve"> is to unite outstanding scientists and young researchers working in the field of inverse and ill-posed problems of natural science, </w:t>
            </w:r>
            <w:r w:rsidRPr="00D06075">
              <w:rPr>
                <w:rFonts w:cs="Times New Roman"/>
                <w:sz w:val="26"/>
                <w:szCs w:val="26"/>
                <w:lang w:val="en-US"/>
              </w:rPr>
              <w:t>A</w:t>
            </w:r>
            <w:r w:rsidRPr="00D06075">
              <w:rPr>
                <w:rFonts w:cs="Times New Roman"/>
                <w:sz w:val="26"/>
                <w:szCs w:val="26"/>
                <w:lang w:val="kk-KZ"/>
              </w:rPr>
              <w:t xml:space="preserve">rtificial </w:t>
            </w:r>
            <w:r w:rsidRPr="00D06075">
              <w:rPr>
                <w:rFonts w:cs="Times New Roman"/>
                <w:sz w:val="26"/>
                <w:szCs w:val="26"/>
                <w:lang w:val="en-US"/>
              </w:rPr>
              <w:t>I</w:t>
            </w:r>
            <w:r w:rsidRPr="00D06075">
              <w:rPr>
                <w:rFonts w:cs="Times New Roman"/>
                <w:sz w:val="26"/>
                <w:szCs w:val="26"/>
                <w:lang w:val="kk-KZ"/>
              </w:rPr>
              <w:t>ntelligence (</w:t>
            </w:r>
            <w:r w:rsidRPr="00D06075">
              <w:rPr>
                <w:rFonts w:cs="Times New Roman"/>
                <w:sz w:val="26"/>
                <w:szCs w:val="26"/>
                <w:lang w:val="en-US"/>
              </w:rPr>
              <w:t>AI</w:t>
            </w:r>
            <w:r w:rsidRPr="00D06075">
              <w:rPr>
                <w:rFonts w:cs="Times New Roman"/>
                <w:sz w:val="26"/>
                <w:szCs w:val="26"/>
                <w:lang w:val="kk-KZ"/>
              </w:rPr>
              <w:t>), biomedicine, finance and economics, to exchange experiences, discuss new results and trends in the development of numerical methods for solving inverse problems and their application in practice.</w:t>
            </w:r>
          </w:p>
          <w:p w14:paraId="047FCA25" w14:textId="67C891E8" w:rsidR="00D06075" w:rsidRDefault="001E26C8" w:rsidP="000C589F">
            <w:pPr>
              <w:ind w:firstLine="284"/>
              <w:jc w:val="both"/>
              <w:rPr>
                <w:rFonts w:cs="Times New Roman"/>
                <w:sz w:val="28"/>
                <w:szCs w:val="26"/>
                <w:lang w:val="kk-KZ"/>
              </w:rPr>
            </w:pPr>
            <w:bookmarkStart w:id="0" w:name="_GoBack"/>
            <w:r w:rsidRPr="001E26C8">
              <w:rPr>
                <w:rFonts w:cs="Times New Roman"/>
                <w:sz w:val="26"/>
                <w:szCs w:val="26"/>
                <w:lang w:val="kk-KZ"/>
              </w:rPr>
              <w:t xml:space="preserve">The conference will be held within the framework of the congress and in cooperation with </w:t>
            </w:r>
            <w:r w:rsidR="00912F6F" w:rsidRPr="00912F6F">
              <w:rPr>
                <w:rFonts w:cs="Times New Roman"/>
                <w:sz w:val="26"/>
                <w:szCs w:val="26"/>
                <w:lang w:val="kk-KZ"/>
              </w:rPr>
              <w:t xml:space="preserve">the Traditional International April Mathematical Conference of the Institute of Mathematics </w:t>
            </w:r>
            <w:bookmarkEnd w:id="0"/>
            <w:r w:rsidR="00912F6F" w:rsidRPr="00912F6F">
              <w:rPr>
                <w:rFonts w:cs="Times New Roman"/>
                <w:sz w:val="26"/>
                <w:szCs w:val="26"/>
                <w:lang w:val="kk-KZ"/>
              </w:rPr>
              <w:t xml:space="preserve">and Mathematical Modeling of the </w:t>
            </w:r>
            <w:r w:rsidR="00912F6F" w:rsidRPr="00912F6F">
              <w:rPr>
                <w:lang w:val="en-US"/>
              </w:rPr>
              <w:t xml:space="preserve"> </w:t>
            </w:r>
            <w:r w:rsidR="00912F6F" w:rsidRPr="00912F6F">
              <w:rPr>
                <w:rFonts w:cs="Times New Roman"/>
                <w:sz w:val="26"/>
                <w:szCs w:val="26"/>
                <w:lang w:val="kk-KZ"/>
              </w:rPr>
              <w:t>Science Committee</w:t>
            </w:r>
            <w:r w:rsidR="00912F6F">
              <w:rPr>
                <w:rFonts w:cs="Times New Roman"/>
                <w:sz w:val="26"/>
                <w:szCs w:val="26"/>
                <w:lang w:val="en-US"/>
              </w:rPr>
              <w:t xml:space="preserve"> of the </w:t>
            </w:r>
            <w:r w:rsidR="00912F6F" w:rsidRPr="00912F6F">
              <w:rPr>
                <w:rFonts w:cs="Times New Roman"/>
                <w:sz w:val="26"/>
                <w:szCs w:val="26"/>
                <w:lang w:val="kk-KZ"/>
              </w:rPr>
              <w:t xml:space="preserve">Ministry of </w:t>
            </w:r>
            <w:r w:rsidR="00912F6F">
              <w:rPr>
                <w:rFonts w:cs="Times New Roman"/>
                <w:sz w:val="26"/>
                <w:szCs w:val="26"/>
                <w:lang w:val="en-US"/>
              </w:rPr>
              <w:t xml:space="preserve">Higher </w:t>
            </w:r>
            <w:r w:rsidR="00912F6F" w:rsidRPr="00912F6F">
              <w:rPr>
                <w:rFonts w:cs="Times New Roman"/>
                <w:sz w:val="26"/>
                <w:szCs w:val="26"/>
                <w:lang w:val="kk-KZ"/>
              </w:rPr>
              <w:t>Education and Science of the Republic of Kazakhstan and the International Mathematical Center of the SB RAS (Novosibirsk, Russia).</w:t>
            </w:r>
          </w:p>
          <w:p w14:paraId="2372B467" w14:textId="413C490F" w:rsidR="00D06075" w:rsidRPr="00DD1D86" w:rsidRDefault="00D06075" w:rsidP="000C589F">
            <w:pPr>
              <w:ind w:firstLine="284"/>
              <w:jc w:val="both"/>
              <w:rPr>
                <w:rFonts w:cs="Times New Roman"/>
                <w:b/>
                <w:color w:val="0070C0"/>
                <w:sz w:val="28"/>
                <w:szCs w:val="26"/>
                <w:lang w:val="kk-KZ"/>
              </w:rPr>
            </w:pPr>
            <w:r w:rsidRPr="00DD1D86">
              <w:rPr>
                <w:rFonts w:cs="Times New Roman"/>
                <w:b/>
                <w:color w:val="0070C0"/>
                <w:sz w:val="28"/>
                <w:szCs w:val="26"/>
                <w:lang w:val="kk-KZ"/>
              </w:rPr>
              <w:t xml:space="preserve">Main </w:t>
            </w:r>
            <w:r>
              <w:rPr>
                <w:rFonts w:cs="Times New Roman"/>
                <w:b/>
                <w:color w:val="0070C0"/>
                <w:sz w:val="28"/>
                <w:szCs w:val="26"/>
                <w:lang w:val="en-US"/>
              </w:rPr>
              <w:t xml:space="preserve">scientific </w:t>
            </w:r>
            <w:r w:rsidRPr="00DD1D86">
              <w:rPr>
                <w:rFonts w:cs="Times New Roman"/>
                <w:b/>
                <w:color w:val="0070C0"/>
                <w:sz w:val="28"/>
                <w:szCs w:val="26"/>
                <w:lang w:val="kk-KZ"/>
              </w:rPr>
              <w:t>directions of the conference:</w:t>
            </w:r>
          </w:p>
          <w:p w14:paraId="027F9476" w14:textId="737DA3B8" w:rsidR="00D06075" w:rsidRPr="00F15E34" w:rsidRDefault="00912F6F" w:rsidP="000C589F">
            <w:pPr>
              <w:tabs>
                <w:tab w:val="left" w:pos="743"/>
              </w:tabs>
              <w:ind w:firstLine="284"/>
              <w:jc w:val="both"/>
              <w:rPr>
                <w:rFonts w:cs="Times New Roman"/>
                <w:sz w:val="26"/>
                <w:szCs w:val="26"/>
                <w:lang w:val="kk-KZ"/>
              </w:rPr>
            </w:pPr>
            <w:r>
              <w:rPr>
                <w:rFonts w:cs="Times New Roman"/>
                <w:sz w:val="26"/>
                <w:szCs w:val="26"/>
                <w:lang w:val="kk-KZ"/>
              </w:rPr>
              <w:t>•</w:t>
            </w:r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r w:rsidR="00D06075" w:rsidRPr="00F15E34">
              <w:rPr>
                <w:rFonts w:cs="Times New Roman"/>
                <w:sz w:val="26"/>
                <w:szCs w:val="26"/>
                <w:lang w:val="kk-KZ"/>
              </w:rPr>
              <w:t>Theory and numerical methods for solving inverse and ill-posed problems and regularization methods</w:t>
            </w:r>
          </w:p>
          <w:p w14:paraId="736F1974" w14:textId="52375621" w:rsidR="00D06075" w:rsidRPr="00F15E34" w:rsidRDefault="00D06075" w:rsidP="000C589F">
            <w:pPr>
              <w:tabs>
                <w:tab w:val="left" w:pos="852"/>
              </w:tabs>
              <w:ind w:firstLine="284"/>
              <w:jc w:val="both"/>
              <w:rPr>
                <w:rFonts w:cs="Times New Roman"/>
                <w:sz w:val="26"/>
                <w:szCs w:val="26"/>
                <w:lang w:val="kk-KZ"/>
              </w:rPr>
            </w:pPr>
            <w:r w:rsidRPr="00F15E34">
              <w:rPr>
                <w:rFonts w:cs="Times New Roman"/>
                <w:sz w:val="26"/>
                <w:szCs w:val="26"/>
                <w:lang w:val="kk-KZ"/>
              </w:rPr>
              <w:t>• Inverse problems of acoustics, geophysics and other branches of natural science</w:t>
            </w:r>
          </w:p>
          <w:p w14:paraId="083065E4" w14:textId="35D206A4" w:rsidR="00D06075" w:rsidRPr="00F15E34" w:rsidRDefault="00D06075" w:rsidP="000C589F">
            <w:pPr>
              <w:tabs>
                <w:tab w:val="left" w:pos="852"/>
              </w:tabs>
              <w:ind w:firstLine="284"/>
              <w:jc w:val="both"/>
              <w:rPr>
                <w:rFonts w:cs="Times New Roman"/>
                <w:sz w:val="26"/>
                <w:szCs w:val="26"/>
                <w:lang w:val="kk-KZ"/>
              </w:rPr>
            </w:pPr>
            <w:r w:rsidRPr="00F15E34">
              <w:rPr>
                <w:rFonts w:cs="Times New Roman"/>
                <w:sz w:val="26"/>
                <w:szCs w:val="26"/>
                <w:lang w:val="kk-KZ"/>
              </w:rPr>
              <w:t>• Inverse problems of epidemiology, immunology, biology and medicine</w:t>
            </w:r>
          </w:p>
          <w:p w14:paraId="7405309C" w14:textId="4DC1F9DB" w:rsidR="00D06075" w:rsidRPr="00912F6F" w:rsidRDefault="00D06075" w:rsidP="000C589F">
            <w:pPr>
              <w:tabs>
                <w:tab w:val="left" w:pos="852"/>
              </w:tabs>
              <w:ind w:firstLine="284"/>
              <w:jc w:val="both"/>
              <w:rPr>
                <w:rFonts w:cs="Times New Roman"/>
                <w:sz w:val="26"/>
                <w:szCs w:val="26"/>
                <w:lang w:val="kk-KZ"/>
              </w:rPr>
            </w:pPr>
            <w:r w:rsidRPr="00F15E34">
              <w:rPr>
                <w:rFonts w:cs="Times New Roman"/>
                <w:sz w:val="26"/>
                <w:szCs w:val="26"/>
                <w:lang w:val="kk-KZ"/>
              </w:rPr>
              <w:t>• Inverse problems and artificial intelligence</w:t>
            </w:r>
          </w:p>
          <w:p w14:paraId="1AD5D833" w14:textId="5F947651" w:rsidR="00C661FD" w:rsidRDefault="00912F6F" w:rsidP="000C589F">
            <w:pPr>
              <w:tabs>
                <w:tab w:val="left" w:pos="852"/>
              </w:tabs>
              <w:ind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F15E34">
              <w:rPr>
                <w:rFonts w:cs="Times New Roman"/>
                <w:sz w:val="26"/>
                <w:szCs w:val="26"/>
                <w:lang w:val="kk-KZ"/>
              </w:rPr>
              <w:t xml:space="preserve">• </w:t>
            </w:r>
            <w:r w:rsidRPr="00912F6F">
              <w:rPr>
                <w:rFonts w:cs="Times New Roman"/>
                <w:sz w:val="26"/>
                <w:szCs w:val="26"/>
                <w:lang w:val="kk-KZ"/>
              </w:rPr>
              <w:t>Inverse problems of finance and economics</w:t>
            </w:r>
          </w:p>
          <w:p w14:paraId="58465A87" w14:textId="37524202" w:rsidR="00D06075" w:rsidRDefault="00D06075" w:rsidP="000C589F">
            <w:pPr>
              <w:ind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</w:p>
          <w:p w14:paraId="753072E4" w14:textId="26187576" w:rsidR="00912F6F" w:rsidRPr="00C01E91" w:rsidRDefault="00912F6F" w:rsidP="000C589F">
            <w:pPr>
              <w:ind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8C4D7E">
              <w:rPr>
                <w:rFonts w:cs="Times New Roman"/>
                <w:bCs/>
                <w:sz w:val="26"/>
                <w:szCs w:val="26"/>
                <w:lang w:val="kk-KZ"/>
              </w:rPr>
              <w:t xml:space="preserve">Working languages of the conference: </w:t>
            </w:r>
            <w:r w:rsidRPr="000C589F">
              <w:rPr>
                <w:rFonts w:cs="Times New Roman"/>
                <w:bCs/>
                <w:i/>
                <w:iCs/>
                <w:sz w:val="26"/>
                <w:szCs w:val="26"/>
                <w:lang w:val="kk-KZ"/>
              </w:rPr>
              <w:t>Kazakh</w:t>
            </w:r>
            <w:r w:rsidRPr="008C4D7E">
              <w:rPr>
                <w:rFonts w:cs="Times New Roman"/>
                <w:bCs/>
                <w:sz w:val="26"/>
                <w:szCs w:val="26"/>
                <w:lang w:val="kk-KZ"/>
              </w:rPr>
              <w:t xml:space="preserve">, </w:t>
            </w:r>
            <w:r w:rsidRPr="000C589F">
              <w:rPr>
                <w:rFonts w:cs="Times New Roman"/>
                <w:bCs/>
                <w:i/>
                <w:iCs/>
                <w:sz w:val="26"/>
                <w:szCs w:val="26"/>
                <w:lang w:val="kk-KZ"/>
              </w:rPr>
              <w:t>Russian</w:t>
            </w:r>
            <w:r w:rsidRPr="008C4D7E">
              <w:rPr>
                <w:rFonts w:cs="Times New Roman"/>
                <w:bCs/>
                <w:sz w:val="26"/>
                <w:szCs w:val="26"/>
                <w:lang w:val="kk-KZ"/>
              </w:rPr>
              <w:t xml:space="preserve"> and </w:t>
            </w:r>
            <w:r w:rsidRPr="000C589F">
              <w:rPr>
                <w:rFonts w:cs="Times New Roman"/>
                <w:bCs/>
                <w:i/>
                <w:iCs/>
                <w:sz w:val="26"/>
                <w:szCs w:val="26"/>
                <w:lang w:val="kk-KZ"/>
              </w:rPr>
              <w:t>English</w:t>
            </w:r>
            <w:r w:rsidRPr="008C4D7E">
              <w:rPr>
                <w:rFonts w:cs="Times New Roman"/>
                <w:bCs/>
                <w:sz w:val="26"/>
                <w:szCs w:val="26"/>
                <w:lang w:val="kk-KZ"/>
              </w:rPr>
              <w:t>.</w:t>
            </w:r>
          </w:p>
          <w:p w14:paraId="5EB496AD" w14:textId="58D1F63B" w:rsidR="00912F6F" w:rsidRPr="00C01E91" w:rsidRDefault="00912F6F" w:rsidP="000C589F">
            <w:pPr>
              <w:pStyle w:val="a3"/>
              <w:ind w:left="0" w:firstLine="284"/>
              <w:jc w:val="both"/>
              <w:rPr>
                <w:rStyle w:val="a5"/>
                <w:sz w:val="14"/>
                <w:lang w:val="kk-KZ"/>
              </w:rPr>
            </w:pPr>
          </w:p>
          <w:p w14:paraId="510562CF" w14:textId="14BCD7CE" w:rsidR="00912F6F" w:rsidRDefault="00912F6F" w:rsidP="000C589F">
            <w:pPr>
              <w:ind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912F6F">
              <w:rPr>
                <w:rFonts w:cs="Times New Roman"/>
                <w:bCs/>
                <w:sz w:val="26"/>
                <w:szCs w:val="26"/>
                <w:lang w:val="kk-KZ"/>
              </w:rPr>
              <w:t>Registration for participation</w:t>
            </w:r>
            <w:r w:rsidRPr="00C01E91">
              <w:rPr>
                <w:rFonts w:cs="Times New Roman"/>
                <w:bCs/>
                <w:sz w:val="26"/>
                <w:szCs w:val="26"/>
                <w:lang w:val="kk-KZ"/>
              </w:rPr>
              <w:t xml:space="preserve">: </w:t>
            </w:r>
          </w:p>
          <w:tbl>
            <w:tblPr>
              <w:tblStyle w:val="a4"/>
              <w:tblW w:w="12332" w:type="dxa"/>
              <w:tblInd w:w="8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02"/>
              <w:gridCol w:w="5130"/>
            </w:tblGrid>
            <w:tr w:rsidR="000C589F" w:rsidRPr="00F71CA1" w14:paraId="3062908F" w14:textId="77777777" w:rsidTr="00983A66">
              <w:trPr>
                <w:trHeight w:val="877"/>
              </w:trPr>
              <w:tc>
                <w:tcPr>
                  <w:tcW w:w="7202" w:type="dxa"/>
                </w:tcPr>
                <w:p w14:paraId="548F39EF" w14:textId="7538A88D" w:rsidR="000C589F" w:rsidRPr="0020331A" w:rsidRDefault="00FD00C8" w:rsidP="00F71CA1">
                  <w:pPr>
                    <w:framePr w:hSpace="180" w:wrap="around" w:vAnchor="page" w:hAnchor="margin" w:xAlign="center" w:y="793"/>
                    <w:jc w:val="both"/>
                    <w:rPr>
                      <w:rFonts w:cs="Times New Roman"/>
                      <w:bCs/>
                      <w:sz w:val="24"/>
                      <w:szCs w:val="24"/>
                      <w:lang w:val="kk-KZ"/>
                    </w:rPr>
                  </w:pPr>
                  <w:hyperlink r:id="rId9" w:history="1">
                    <w:r w:rsidR="000C589F" w:rsidRPr="00C71A54">
                      <w:rPr>
                        <w:rStyle w:val="a5"/>
                        <w:rFonts w:cs="Times New Roman"/>
                        <w:bCs/>
                        <w:sz w:val="24"/>
                        <w:szCs w:val="24"/>
                        <w:lang w:val="kk-KZ"/>
                      </w:rPr>
                      <w:t>https://docs.google.com/forms/d/e/1FAIpQLSeEjir9oF6QL5Pp6IcZKDFWEZWdCgUrHJYfiTWMmOJR-KOxFg/viewform?usp=header</w:t>
                    </w:r>
                  </w:hyperlink>
                  <w:r w:rsidR="000C589F" w:rsidRPr="0020331A">
                    <w:rPr>
                      <w:rFonts w:cs="Times New Roman"/>
                      <w:bCs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5130" w:type="dxa"/>
                </w:tcPr>
                <w:p w14:paraId="15AE686F" w14:textId="69BB078A" w:rsidR="000C589F" w:rsidRPr="00D80C97" w:rsidRDefault="000C589F" w:rsidP="00F71CA1">
                  <w:pPr>
                    <w:framePr w:hSpace="180" w:wrap="around" w:vAnchor="page" w:hAnchor="margin" w:xAlign="center" w:y="793"/>
                    <w:ind w:firstLine="284"/>
                    <w:jc w:val="both"/>
                    <w:rPr>
                      <w:rFonts w:cs="Times New Roman"/>
                      <w:bCs/>
                      <w:sz w:val="26"/>
                      <w:szCs w:val="26"/>
                      <w:lang w:val="kk-KZ"/>
                    </w:rPr>
                  </w:pPr>
                  <w:r>
                    <w:rPr>
                      <w:rFonts w:cs="Times New Roman"/>
                      <w:noProof/>
                      <w:sz w:val="26"/>
                      <w:szCs w:val="26"/>
                      <w:lang w:eastAsia="ru-RU"/>
                    </w:rPr>
                    <w:drawing>
                      <wp:anchor distT="0" distB="0" distL="114300" distR="114300" simplePos="0" relativeHeight="251668480" behindDoc="0" locked="0" layoutInCell="1" allowOverlap="1" wp14:anchorId="50D6110A" wp14:editId="5A76A8F3">
                        <wp:simplePos x="0" y="0"/>
                        <wp:positionH relativeFrom="column">
                          <wp:posOffset>16510</wp:posOffset>
                        </wp:positionH>
                        <wp:positionV relativeFrom="paragraph">
                          <wp:posOffset>-990472</wp:posOffset>
                        </wp:positionV>
                        <wp:extent cx="1104900" cy="1763268"/>
                        <wp:effectExtent l="0" t="0" r="0" b="8890"/>
                        <wp:wrapNone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9424" cy="177048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D80C97">
                    <w:rPr>
                      <w:rFonts w:cs="Times New Roman"/>
                      <w:bCs/>
                      <w:sz w:val="26"/>
                      <w:szCs w:val="26"/>
                      <w:lang w:val="kk-KZ"/>
                    </w:rPr>
                    <w:t xml:space="preserve"> </w:t>
                  </w:r>
                </w:p>
                <w:p w14:paraId="5EE91F4C" w14:textId="77777777" w:rsidR="000C589F" w:rsidRDefault="000C589F" w:rsidP="00F71CA1">
                  <w:pPr>
                    <w:framePr w:hSpace="180" w:wrap="around" w:vAnchor="page" w:hAnchor="margin" w:xAlign="center" w:y="793"/>
                    <w:ind w:firstLine="284"/>
                    <w:jc w:val="both"/>
                    <w:rPr>
                      <w:rFonts w:cs="Times New Roman"/>
                      <w:bCs/>
                      <w:sz w:val="26"/>
                      <w:szCs w:val="26"/>
                      <w:lang w:val="kk-KZ"/>
                    </w:rPr>
                  </w:pPr>
                </w:p>
              </w:tc>
            </w:tr>
          </w:tbl>
          <w:p w14:paraId="308FB31C" w14:textId="4C5F9001" w:rsidR="00912F6F" w:rsidRPr="00912F6F" w:rsidRDefault="00912F6F" w:rsidP="000C589F">
            <w:pPr>
              <w:ind w:firstLine="284"/>
              <w:jc w:val="both"/>
              <w:rPr>
                <w:rStyle w:val="a5"/>
                <w:rFonts w:cs="Times New Roman"/>
                <w:bCs/>
                <w:sz w:val="26"/>
                <w:szCs w:val="26"/>
                <w:lang w:val="en-US"/>
              </w:rPr>
            </w:pPr>
            <w:r>
              <w:rPr>
                <w:rFonts w:cs="Times New Roman"/>
                <w:bCs/>
                <w:sz w:val="26"/>
                <w:szCs w:val="26"/>
                <w:lang w:val="en-US"/>
              </w:rPr>
              <w:t>Conference web-site</w:t>
            </w:r>
            <w:r w:rsidRPr="00912F6F">
              <w:rPr>
                <w:rFonts w:cs="Times New Roman"/>
                <w:bCs/>
                <w:sz w:val="26"/>
                <w:szCs w:val="26"/>
                <w:lang w:val="en-US"/>
              </w:rPr>
              <w:t xml:space="preserve">: </w:t>
            </w:r>
            <w:hyperlink r:id="rId11" w:history="1">
              <w:r w:rsidR="000C589F" w:rsidRPr="000C589F">
                <w:rPr>
                  <w:rStyle w:val="a5"/>
                  <w:sz w:val="26"/>
                  <w:szCs w:val="26"/>
                  <w:lang w:val="en-US"/>
                </w:rPr>
                <w:t>https://www.mathcongresskz2026.com/ru</w:t>
              </w:r>
            </w:hyperlink>
          </w:p>
          <w:p w14:paraId="26D3231D" w14:textId="18D6602D" w:rsidR="00912F6F" w:rsidRPr="000C589F" w:rsidRDefault="00912F6F" w:rsidP="000C589F">
            <w:pPr>
              <w:ind w:firstLine="284"/>
              <w:jc w:val="both"/>
              <w:rPr>
                <w:rStyle w:val="a5"/>
                <w:rFonts w:cs="Times New Roman"/>
                <w:bCs/>
                <w:i/>
                <w:color w:val="FF0000"/>
                <w:sz w:val="26"/>
                <w:szCs w:val="26"/>
                <w:u w:val="none"/>
                <w:lang w:val="en-US"/>
              </w:rPr>
            </w:pPr>
          </w:p>
          <w:p w14:paraId="1E0BCA7B" w14:textId="7B5661D4" w:rsidR="00D06075" w:rsidRDefault="00912F6F" w:rsidP="000C589F">
            <w:pPr>
              <w:pStyle w:val="a3"/>
              <w:ind w:left="0"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912F6F">
              <w:rPr>
                <w:rFonts w:cs="Times New Roman"/>
                <w:bCs/>
                <w:sz w:val="26"/>
                <w:szCs w:val="26"/>
                <w:lang w:val="kk-KZ"/>
              </w:rPr>
              <w:t>Abstracts using the attached form should be attached during registration or sent to the conference email address</w:t>
            </w:r>
            <w:r w:rsidR="00D06075" w:rsidRPr="00C42730">
              <w:rPr>
                <w:rFonts w:cs="Times New Roman"/>
                <w:bCs/>
                <w:sz w:val="26"/>
                <w:szCs w:val="26"/>
                <w:lang w:val="kk-KZ"/>
              </w:rPr>
              <w:t xml:space="preserve">: </w:t>
            </w:r>
            <w:hyperlink r:id="rId12" w:history="1">
              <w:r w:rsidR="000C589F" w:rsidRPr="000C589F">
                <w:rPr>
                  <w:rStyle w:val="a5"/>
                  <w:sz w:val="26"/>
                  <w:szCs w:val="26"/>
                  <w:lang w:val="en-US"/>
                </w:rPr>
                <w:t>math.congress-3@math.kz</w:t>
              </w:r>
            </w:hyperlink>
          </w:p>
          <w:p w14:paraId="18BA6913" w14:textId="77777777" w:rsidR="00D06075" w:rsidRDefault="00D06075" w:rsidP="000C589F">
            <w:pPr>
              <w:pStyle w:val="a3"/>
              <w:ind w:left="0"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</w:p>
          <w:p w14:paraId="6BBF101D" w14:textId="77777777" w:rsidR="00912F6F" w:rsidRDefault="00912F6F" w:rsidP="000C589F">
            <w:pPr>
              <w:pStyle w:val="a3"/>
              <w:ind w:left="0"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</w:p>
          <w:p w14:paraId="2E2F3A57" w14:textId="4479F82A" w:rsidR="00912F6F" w:rsidRPr="00DC772C" w:rsidRDefault="00912F6F" w:rsidP="00DC772C">
            <w:pPr>
              <w:tabs>
                <w:tab w:val="left" w:pos="885"/>
              </w:tabs>
              <w:ind w:firstLine="284"/>
              <w:jc w:val="both"/>
              <w:rPr>
                <w:rFonts w:cs="Times New Roman"/>
                <w:b/>
                <w:color w:val="0070C0"/>
                <w:sz w:val="28"/>
                <w:szCs w:val="26"/>
                <w:lang w:val="kk-KZ"/>
              </w:rPr>
            </w:pPr>
            <w:r w:rsidRPr="00DC772C">
              <w:rPr>
                <w:rFonts w:cs="Times New Roman"/>
                <w:b/>
                <w:color w:val="0070C0"/>
                <w:sz w:val="28"/>
                <w:szCs w:val="26"/>
                <w:lang w:val="kk-KZ"/>
              </w:rPr>
              <w:t xml:space="preserve">Registration fees </w:t>
            </w:r>
            <w:r w:rsidR="001B37EB" w:rsidRPr="00DC772C">
              <w:rPr>
                <w:rFonts w:cs="Times New Roman"/>
                <w:b/>
                <w:color w:val="0070C0"/>
                <w:sz w:val="28"/>
                <w:szCs w:val="26"/>
                <w:lang w:val="kk-KZ"/>
              </w:rPr>
              <w:t xml:space="preserve"> </w:t>
            </w:r>
          </w:p>
          <w:p w14:paraId="35F694EC" w14:textId="77777777" w:rsidR="000C589F" w:rsidRPr="000C589F" w:rsidRDefault="000C589F" w:rsidP="000C589F">
            <w:pPr>
              <w:pStyle w:val="a3"/>
              <w:ind w:left="0"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0C589F">
              <w:rPr>
                <w:rFonts w:cs="Times New Roman"/>
                <w:bCs/>
                <w:sz w:val="26"/>
                <w:szCs w:val="26"/>
                <w:lang w:val="kk-KZ"/>
              </w:rPr>
              <w:t xml:space="preserve">The Congress registration fee is </w:t>
            </w:r>
            <w:r w:rsidRPr="000C589F">
              <w:rPr>
                <w:rFonts w:cs="Times New Roman"/>
                <w:bCs/>
                <w:i/>
                <w:iCs/>
                <w:sz w:val="26"/>
                <w:szCs w:val="26"/>
                <w:lang w:val="kk-KZ"/>
              </w:rPr>
              <w:t>40,000</w:t>
            </w:r>
            <w:r w:rsidRPr="000C589F">
              <w:rPr>
                <w:rFonts w:cs="Times New Roman"/>
                <w:bCs/>
                <w:sz w:val="26"/>
                <w:szCs w:val="26"/>
                <w:lang w:val="kk-KZ"/>
              </w:rPr>
              <w:t xml:space="preserve"> tenge per participant. </w:t>
            </w:r>
          </w:p>
          <w:p w14:paraId="26C6787D" w14:textId="77777777" w:rsidR="00DC772C" w:rsidRDefault="00912F6F" w:rsidP="00DC772C">
            <w:pPr>
              <w:pStyle w:val="a3"/>
              <w:ind w:left="0"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912F6F">
              <w:rPr>
                <w:rFonts w:cs="Times New Roman"/>
                <w:bCs/>
                <w:sz w:val="26"/>
                <w:szCs w:val="26"/>
                <w:lang w:val="kk-KZ"/>
              </w:rPr>
              <w:t xml:space="preserve">Free for </w:t>
            </w:r>
            <w:r w:rsidR="000C589F" w:rsidRPr="00F71CA1">
              <w:rPr>
                <w:rFonts w:cs="Times New Roman"/>
                <w:bCs/>
                <w:sz w:val="26"/>
                <w:szCs w:val="26"/>
                <w:lang w:val="kk-KZ"/>
              </w:rPr>
              <w:t>u</w:t>
            </w:r>
            <w:r w:rsidR="000C589F" w:rsidRPr="000C589F">
              <w:rPr>
                <w:rFonts w:cs="Times New Roman"/>
                <w:bCs/>
                <w:sz w:val="26"/>
                <w:szCs w:val="26"/>
                <w:lang w:val="kk-KZ"/>
              </w:rPr>
              <w:t>ndergraduate, master's</w:t>
            </w:r>
            <w:r w:rsidR="000C589F" w:rsidRPr="00F71CA1">
              <w:rPr>
                <w:rFonts w:cs="Times New Roman"/>
                <w:bCs/>
                <w:sz w:val="26"/>
                <w:szCs w:val="26"/>
                <w:lang w:val="kk-KZ"/>
              </w:rPr>
              <w:t xml:space="preserve"> </w:t>
            </w:r>
            <w:r w:rsidR="000C589F" w:rsidRPr="000C589F">
              <w:rPr>
                <w:rFonts w:cs="Times New Roman"/>
                <w:bCs/>
                <w:sz w:val="26"/>
                <w:szCs w:val="26"/>
                <w:lang w:val="kk-KZ"/>
              </w:rPr>
              <w:t xml:space="preserve">and doctoral students </w:t>
            </w:r>
            <w:r w:rsidRPr="00912F6F">
              <w:rPr>
                <w:rFonts w:cs="Times New Roman"/>
                <w:bCs/>
                <w:sz w:val="26"/>
                <w:szCs w:val="26"/>
                <w:lang w:val="kk-KZ"/>
              </w:rPr>
              <w:t>.</w:t>
            </w:r>
          </w:p>
          <w:p w14:paraId="281AF5ED" w14:textId="77777777" w:rsidR="00F71CA1" w:rsidRPr="00F71CA1" w:rsidRDefault="00F71CA1" w:rsidP="00DC772C">
            <w:pPr>
              <w:pStyle w:val="a3"/>
              <w:ind w:left="0"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F71CA1">
              <w:rPr>
                <w:rFonts w:cs="Times New Roman"/>
                <w:bCs/>
                <w:sz w:val="26"/>
                <w:szCs w:val="26"/>
                <w:lang w:val="kk-KZ"/>
              </w:rPr>
              <w:t>Payment details are available on the congress website.</w:t>
            </w:r>
          </w:p>
          <w:p w14:paraId="19818328" w14:textId="4ECB80A8" w:rsidR="00B71127" w:rsidRDefault="00DC772C" w:rsidP="00DC772C">
            <w:pPr>
              <w:pStyle w:val="a3"/>
              <w:ind w:left="0"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F71CA1">
              <w:rPr>
                <w:rFonts w:cs="Times New Roman"/>
                <w:bCs/>
                <w:sz w:val="26"/>
                <w:szCs w:val="26"/>
                <w:lang w:val="kk-KZ"/>
              </w:rPr>
              <w:t xml:space="preserve">Participants experiencing difficulties paying the registration fee may contact </w:t>
            </w:r>
            <w:hyperlink r:id="rId13" w:history="1">
              <w:r w:rsidR="00F71CA1" w:rsidRPr="00F71CA1">
                <w:rPr>
                  <w:rStyle w:val="a5"/>
                  <w:rFonts w:cs="Times New Roman"/>
                  <w:bCs/>
                  <w:sz w:val="26"/>
                  <w:szCs w:val="26"/>
                  <w:lang w:val="en-US"/>
                </w:rPr>
                <w:t>math.congress@math.kz</w:t>
              </w:r>
            </w:hyperlink>
            <w:r w:rsidR="00F71CA1">
              <w:rPr>
                <w:rStyle w:val="a5"/>
                <w:rFonts w:cs="Times New Roman"/>
                <w:bCs/>
                <w:sz w:val="26"/>
                <w:szCs w:val="26"/>
                <w:lang w:val="kk-KZ"/>
              </w:rPr>
              <w:t xml:space="preserve"> </w:t>
            </w:r>
            <w:r w:rsidRPr="00F71CA1">
              <w:rPr>
                <w:rFonts w:cs="Times New Roman"/>
                <w:bCs/>
                <w:sz w:val="26"/>
                <w:szCs w:val="26"/>
                <w:lang w:val="kk-KZ"/>
              </w:rPr>
              <w:t>the Organizing Committee for assistance.</w:t>
            </w:r>
          </w:p>
          <w:p w14:paraId="37FE780A" w14:textId="77777777" w:rsidR="00DC772C" w:rsidRPr="00912F6F" w:rsidRDefault="00DC772C" w:rsidP="00DC772C">
            <w:pPr>
              <w:pStyle w:val="a3"/>
              <w:ind w:left="0"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</w:p>
          <w:p w14:paraId="62666CA3" w14:textId="2B954589" w:rsidR="00912F6F" w:rsidRDefault="00DC772C" w:rsidP="000C589F">
            <w:pPr>
              <w:ind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DC772C">
              <w:rPr>
                <w:rFonts w:cs="Times New Roman"/>
                <w:bCs/>
                <w:sz w:val="26"/>
                <w:szCs w:val="26"/>
                <w:lang w:val="kk-KZ"/>
              </w:rPr>
              <w:t xml:space="preserve">Shymkent </w:t>
            </w:r>
            <w:r w:rsidR="00912F6F" w:rsidRPr="00912F6F">
              <w:rPr>
                <w:rFonts w:cs="Times New Roman"/>
                <w:bCs/>
                <w:sz w:val="26"/>
                <w:szCs w:val="26"/>
                <w:lang w:val="kk-KZ"/>
              </w:rPr>
              <w:t>provides accommodation in several hotels of different categories. Early booking is recommended by contacting the Organizing Committee or directly to the hotel</w:t>
            </w:r>
            <w:r w:rsidR="00B71127" w:rsidRPr="00B71127">
              <w:rPr>
                <w:rFonts w:cs="Times New Roman"/>
                <w:bCs/>
                <w:sz w:val="26"/>
                <w:szCs w:val="26"/>
                <w:lang w:val="en-US"/>
              </w:rPr>
              <w:t>.</w:t>
            </w:r>
            <w:r w:rsidR="00AF307B" w:rsidRPr="00AF307B">
              <w:rPr>
                <w:lang w:val="en-US"/>
              </w:rPr>
              <w:t xml:space="preserve"> </w:t>
            </w:r>
            <w:r w:rsidR="00AF307B" w:rsidRPr="00AF307B">
              <w:rPr>
                <w:rFonts w:cs="Times New Roman"/>
                <w:bCs/>
                <w:sz w:val="26"/>
                <w:szCs w:val="26"/>
                <w:lang w:val="kk-KZ"/>
              </w:rPr>
              <w:t>The list of hotels is presented on the conference website.</w:t>
            </w:r>
          </w:p>
          <w:p w14:paraId="2629FB62" w14:textId="77777777" w:rsidR="00AF307B" w:rsidRDefault="00AF307B" w:rsidP="000C589F">
            <w:pPr>
              <w:ind w:firstLine="284"/>
              <w:jc w:val="both"/>
              <w:rPr>
                <w:rFonts w:cs="Times New Roman"/>
                <w:b/>
                <w:color w:val="0070C0"/>
                <w:sz w:val="28"/>
                <w:szCs w:val="26"/>
                <w:lang w:val="kk-KZ"/>
              </w:rPr>
            </w:pPr>
          </w:p>
          <w:p w14:paraId="425DB7BF" w14:textId="799DEA4A" w:rsidR="00D06075" w:rsidRDefault="00D06075" w:rsidP="000C589F">
            <w:pPr>
              <w:tabs>
                <w:tab w:val="left" w:pos="885"/>
              </w:tabs>
              <w:ind w:firstLine="284"/>
              <w:jc w:val="both"/>
              <w:rPr>
                <w:rFonts w:cs="Times New Roman"/>
                <w:b/>
                <w:color w:val="0070C0"/>
                <w:sz w:val="28"/>
                <w:szCs w:val="26"/>
                <w:lang w:val="kk-KZ"/>
              </w:rPr>
            </w:pPr>
            <w:r w:rsidRPr="00346B22">
              <w:rPr>
                <w:rFonts w:cs="Times New Roman"/>
                <w:b/>
                <w:color w:val="0070C0"/>
                <w:sz w:val="28"/>
                <w:szCs w:val="26"/>
                <w:lang w:val="kk-KZ"/>
              </w:rPr>
              <w:t>Important dates:</w:t>
            </w:r>
          </w:p>
          <w:p w14:paraId="016B002D" w14:textId="77777777" w:rsidR="00DC772C" w:rsidRPr="00DC772C" w:rsidRDefault="00DC772C" w:rsidP="00DC772C">
            <w:pPr>
              <w:pStyle w:val="a3"/>
              <w:numPr>
                <w:ilvl w:val="0"/>
                <w:numId w:val="4"/>
              </w:numPr>
              <w:tabs>
                <w:tab w:val="left" w:pos="604"/>
              </w:tabs>
              <w:ind w:left="321" w:firstLine="0"/>
              <w:jc w:val="both"/>
              <w:rPr>
                <w:sz w:val="26"/>
                <w:szCs w:val="26"/>
                <w:lang w:val="en-US"/>
              </w:rPr>
            </w:pPr>
            <w:r w:rsidRPr="00DC772C">
              <w:rPr>
                <w:rStyle w:val="aa"/>
                <w:sz w:val="26"/>
                <w:szCs w:val="26"/>
                <w:lang w:val="en-US"/>
              </w:rPr>
              <w:t>By March 1</w:t>
            </w:r>
            <w:r w:rsidRPr="00DC772C">
              <w:rPr>
                <w:sz w:val="26"/>
                <w:szCs w:val="26"/>
                <w:lang w:val="en-US"/>
              </w:rPr>
              <w:t xml:space="preserve"> – registration and submission of abstracts;</w:t>
            </w:r>
          </w:p>
          <w:p w14:paraId="6DFD34BB" w14:textId="6E4C75FB" w:rsidR="00DC772C" w:rsidRPr="00DC772C" w:rsidRDefault="00DC772C" w:rsidP="00DC772C">
            <w:pPr>
              <w:pStyle w:val="a3"/>
              <w:numPr>
                <w:ilvl w:val="0"/>
                <w:numId w:val="4"/>
              </w:numPr>
              <w:tabs>
                <w:tab w:val="left" w:pos="604"/>
              </w:tabs>
              <w:ind w:left="321" w:firstLine="0"/>
              <w:jc w:val="both"/>
              <w:rPr>
                <w:sz w:val="26"/>
                <w:szCs w:val="26"/>
                <w:lang w:val="en-US"/>
              </w:rPr>
            </w:pPr>
            <w:r w:rsidRPr="00DC772C">
              <w:rPr>
                <w:rStyle w:val="aa"/>
                <w:sz w:val="26"/>
                <w:szCs w:val="26"/>
                <w:lang w:val="en-US"/>
              </w:rPr>
              <w:t>By March 10</w:t>
            </w:r>
            <w:r w:rsidRPr="00DC772C">
              <w:rPr>
                <w:sz w:val="26"/>
                <w:szCs w:val="26"/>
                <w:lang w:val="en-US"/>
              </w:rPr>
              <w:t xml:space="preserve"> – confirmation of inclusion of presentations in the program;</w:t>
            </w:r>
          </w:p>
          <w:p w14:paraId="2583BD48" w14:textId="0432E675" w:rsidR="00DC772C" w:rsidRPr="00DC772C" w:rsidRDefault="00DC772C" w:rsidP="00DC772C">
            <w:pPr>
              <w:pStyle w:val="a3"/>
              <w:numPr>
                <w:ilvl w:val="0"/>
                <w:numId w:val="4"/>
              </w:numPr>
              <w:tabs>
                <w:tab w:val="left" w:pos="604"/>
              </w:tabs>
              <w:ind w:left="321" w:firstLine="0"/>
              <w:jc w:val="both"/>
              <w:rPr>
                <w:sz w:val="26"/>
                <w:szCs w:val="26"/>
                <w:lang w:val="en-US"/>
              </w:rPr>
            </w:pPr>
            <w:r w:rsidRPr="00DC772C">
              <w:rPr>
                <w:rStyle w:val="aa"/>
                <w:sz w:val="26"/>
                <w:szCs w:val="26"/>
                <w:lang w:val="en-US"/>
              </w:rPr>
              <w:t>By March 15</w:t>
            </w:r>
            <w:r w:rsidRPr="00DC772C">
              <w:rPr>
                <w:sz w:val="26"/>
                <w:szCs w:val="26"/>
                <w:lang w:val="en-US"/>
              </w:rPr>
              <w:t xml:space="preserve"> – payment of the registration fee;</w:t>
            </w:r>
          </w:p>
          <w:p w14:paraId="2ABDB4CF" w14:textId="5050133B" w:rsidR="00DC772C" w:rsidRPr="00DC772C" w:rsidRDefault="00DC772C" w:rsidP="00DC772C">
            <w:pPr>
              <w:pStyle w:val="a3"/>
              <w:numPr>
                <w:ilvl w:val="0"/>
                <w:numId w:val="4"/>
              </w:numPr>
              <w:tabs>
                <w:tab w:val="left" w:pos="604"/>
              </w:tabs>
              <w:ind w:left="321" w:firstLine="0"/>
              <w:jc w:val="both"/>
              <w:rPr>
                <w:sz w:val="26"/>
                <w:szCs w:val="26"/>
                <w:lang w:val="en-US"/>
              </w:rPr>
            </w:pPr>
            <w:r w:rsidRPr="00DC772C">
              <w:rPr>
                <w:rStyle w:val="aa"/>
                <w:sz w:val="26"/>
                <w:szCs w:val="26"/>
                <w:lang w:val="en-US"/>
              </w:rPr>
              <w:t>By March 28</w:t>
            </w:r>
            <w:r w:rsidRPr="00DC772C">
              <w:rPr>
                <w:sz w:val="26"/>
                <w:szCs w:val="26"/>
                <w:lang w:val="en-US"/>
              </w:rPr>
              <w:t xml:space="preserve"> – publication of the program;</w:t>
            </w:r>
          </w:p>
          <w:p w14:paraId="61BE788B" w14:textId="64C401FD" w:rsidR="00DC772C" w:rsidRPr="00DC772C" w:rsidRDefault="0090716C" w:rsidP="00DC772C">
            <w:pPr>
              <w:pStyle w:val="a3"/>
              <w:numPr>
                <w:ilvl w:val="0"/>
                <w:numId w:val="4"/>
              </w:numPr>
              <w:tabs>
                <w:tab w:val="left" w:pos="604"/>
              </w:tabs>
              <w:ind w:left="321" w:firstLine="0"/>
              <w:jc w:val="both"/>
              <w:rPr>
                <w:sz w:val="26"/>
                <w:szCs w:val="26"/>
                <w:lang w:val="en-US"/>
              </w:rPr>
            </w:pPr>
            <w:r>
              <w:rPr>
                <w:rStyle w:val="aa"/>
                <w:sz w:val="26"/>
                <w:szCs w:val="26"/>
                <w:lang w:val="en-US"/>
              </w:rPr>
              <w:t>April 3</w:t>
            </w:r>
            <w:r>
              <w:rPr>
                <w:rStyle w:val="aa"/>
                <w:sz w:val="26"/>
                <w:szCs w:val="26"/>
                <w:lang w:val="kk-KZ"/>
              </w:rPr>
              <w:t>-</w:t>
            </w:r>
            <w:r w:rsidR="00DC772C" w:rsidRPr="00DC772C">
              <w:rPr>
                <w:rStyle w:val="aa"/>
                <w:sz w:val="26"/>
                <w:szCs w:val="26"/>
                <w:lang w:val="en-US"/>
              </w:rPr>
              <w:t>6</w:t>
            </w:r>
            <w:r w:rsidR="00DC772C" w:rsidRPr="00DC772C">
              <w:rPr>
                <w:sz w:val="26"/>
                <w:szCs w:val="26"/>
                <w:lang w:val="en-US"/>
              </w:rPr>
              <w:t xml:space="preserve"> – registration, opening of the conference, plenary/sectional sessions, excursions around the Turkestan region;</w:t>
            </w:r>
          </w:p>
          <w:p w14:paraId="434B4F22" w14:textId="062E87DC" w:rsidR="00DC772C" w:rsidRPr="00DC772C" w:rsidRDefault="00DC772C" w:rsidP="00DC772C">
            <w:pPr>
              <w:pStyle w:val="a3"/>
              <w:numPr>
                <w:ilvl w:val="0"/>
                <w:numId w:val="4"/>
              </w:numPr>
              <w:tabs>
                <w:tab w:val="left" w:pos="604"/>
              </w:tabs>
              <w:ind w:left="321" w:firstLine="0"/>
              <w:jc w:val="both"/>
              <w:rPr>
                <w:rFonts w:cs="Times New Roman"/>
                <w:b/>
                <w:sz w:val="26"/>
                <w:szCs w:val="26"/>
                <w:lang w:val="kk-KZ"/>
              </w:rPr>
            </w:pPr>
            <w:r w:rsidRPr="00DC772C">
              <w:rPr>
                <w:rStyle w:val="aa"/>
                <w:sz w:val="26"/>
                <w:szCs w:val="26"/>
                <w:lang w:val="en-US"/>
              </w:rPr>
              <w:t>April 7</w:t>
            </w:r>
            <w:r w:rsidRPr="00DC772C">
              <w:rPr>
                <w:sz w:val="26"/>
                <w:szCs w:val="26"/>
                <w:lang w:val="en-US"/>
              </w:rPr>
              <w:t xml:space="preserve"> – closing ceremony, departure.</w:t>
            </w:r>
          </w:p>
          <w:p w14:paraId="2BDF1BBB" w14:textId="77777777" w:rsidR="00D06075" w:rsidRDefault="00D06075" w:rsidP="000C589F">
            <w:pPr>
              <w:ind w:firstLine="284"/>
              <w:jc w:val="both"/>
              <w:rPr>
                <w:rFonts w:cs="Times New Roman"/>
                <w:bCs/>
                <w:sz w:val="28"/>
                <w:szCs w:val="24"/>
                <w:lang w:val="kk-KZ"/>
              </w:rPr>
            </w:pPr>
          </w:p>
          <w:p w14:paraId="0403BCDF" w14:textId="52D096C2" w:rsidR="00EC62BC" w:rsidRPr="00EC62BC" w:rsidRDefault="00D06075" w:rsidP="000C589F">
            <w:pPr>
              <w:ind w:firstLine="284"/>
              <w:jc w:val="right"/>
              <w:rPr>
                <w:rFonts w:cs="Times New Roman"/>
                <w:bCs/>
                <w:sz w:val="28"/>
                <w:szCs w:val="24"/>
                <w:lang w:val="kk-KZ"/>
              </w:rPr>
            </w:pPr>
            <w:r w:rsidRPr="00A91395">
              <w:rPr>
                <w:rFonts w:cs="Times New Roman"/>
                <w:bCs/>
                <w:sz w:val="26"/>
                <w:szCs w:val="26"/>
                <w:lang w:val="kk-KZ"/>
              </w:rPr>
              <w:t>Organizing Committee</w:t>
            </w:r>
          </w:p>
        </w:tc>
      </w:tr>
    </w:tbl>
    <w:p w14:paraId="6A31CB92" w14:textId="57417EB9" w:rsidR="003D5BD0" w:rsidRPr="003D5BD0" w:rsidRDefault="003D5BD0" w:rsidP="00D06075">
      <w:pPr>
        <w:tabs>
          <w:tab w:val="left" w:pos="960"/>
        </w:tabs>
        <w:rPr>
          <w:lang w:val="kk-KZ"/>
        </w:rPr>
      </w:pPr>
    </w:p>
    <w:sectPr w:rsidR="003D5BD0" w:rsidRPr="003D5BD0" w:rsidSect="000B6C6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10D73" w14:textId="77777777" w:rsidR="00FD00C8" w:rsidRDefault="00FD00C8" w:rsidP="00EA6139">
      <w:pPr>
        <w:spacing w:after="0" w:line="240" w:lineRule="auto"/>
      </w:pPr>
      <w:r>
        <w:separator/>
      </w:r>
    </w:p>
  </w:endnote>
  <w:endnote w:type="continuationSeparator" w:id="0">
    <w:p w14:paraId="61F69B7A" w14:textId="77777777" w:rsidR="00FD00C8" w:rsidRDefault="00FD00C8" w:rsidP="00EA6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E8932" w14:textId="77777777" w:rsidR="00FD00C8" w:rsidRDefault="00FD00C8" w:rsidP="00EA6139">
      <w:pPr>
        <w:spacing w:after="0" w:line="240" w:lineRule="auto"/>
      </w:pPr>
      <w:r>
        <w:separator/>
      </w:r>
    </w:p>
  </w:footnote>
  <w:footnote w:type="continuationSeparator" w:id="0">
    <w:p w14:paraId="6BA1F007" w14:textId="77777777" w:rsidR="00FD00C8" w:rsidRDefault="00FD00C8" w:rsidP="00EA6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18EB"/>
    <w:multiLevelType w:val="hybridMultilevel"/>
    <w:tmpl w:val="31F4D2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E2CC9"/>
    <w:multiLevelType w:val="hybridMultilevel"/>
    <w:tmpl w:val="BF48C25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C357B05"/>
    <w:multiLevelType w:val="hybridMultilevel"/>
    <w:tmpl w:val="733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5411A"/>
    <w:multiLevelType w:val="hybridMultilevel"/>
    <w:tmpl w:val="640A4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D0"/>
    <w:rsid w:val="00015220"/>
    <w:rsid w:val="00015E7D"/>
    <w:rsid w:val="00047617"/>
    <w:rsid w:val="000B3D5A"/>
    <w:rsid w:val="000B6C64"/>
    <w:rsid w:val="000C589F"/>
    <w:rsid w:val="000E00CB"/>
    <w:rsid w:val="001256AA"/>
    <w:rsid w:val="00166068"/>
    <w:rsid w:val="00171DA4"/>
    <w:rsid w:val="001B37EB"/>
    <w:rsid w:val="001E26C8"/>
    <w:rsid w:val="00262F88"/>
    <w:rsid w:val="002845F6"/>
    <w:rsid w:val="002F758F"/>
    <w:rsid w:val="003D5BD0"/>
    <w:rsid w:val="004674C9"/>
    <w:rsid w:val="0050238A"/>
    <w:rsid w:val="0054412D"/>
    <w:rsid w:val="005951E7"/>
    <w:rsid w:val="0062341F"/>
    <w:rsid w:val="00642538"/>
    <w:rsid w:val="0067406F"/>
    <w:rsid w:val="00697E4A"/>
    <w:rsid w:val="006C5ECB"/>
    <w:rsid w:val="006C732E"/>
    <w:rsid w:val="006D5FE2"/>
    <w:rsid w:val="00705A09"/>
    <w:rsid w:val="007368D9"/>
    <w:rsid w:val="00740E44"/>
    <w:rsid w:val="007623B0"/>
    <w:rsid w:val="007A472C"/>
    <w:rsid w:val="007C44F2"/>
    <w:rsid w:val="007E6062"/>
    <w:rsid w:val="00873716"/>
    <w:rsid w:val="008A4073"/>
    <w:rsid w:val="0090716C"/>
    <w:rsid w:val="00912F6F"/>
    <w:rsid w:val="00920BE0"/>
    <w:rsid w:val="00934E12"/>
    <w:rsid w:val="009428EC"/>
    <w:rsid w:val="0097161D"/>
    <w:rsid w:val="009A663B"/>
    <w:rsid w:val="00A3267C"/>
    <w:rsid w:val="00A86DFF"/>
    <w:rsid w:val="00AE6B27"/>
    <w:rsid w:val="00AF307B"/>
    <w:rsid w:val="00B71127"/>
    <w:rsid w:val="00BF0C61"/>
    <w:rsid w:val="00BF5763"/>
    <w:rsid w:val="00C01E91"/>
    <w:rsid w:val="00C07AC2"/>
    <w:rsid w:val="00C661FD"/>
    <w:rsid w:val="00C803E4"/>
    <w:rsid w:val="00CE1F22"/>
    <w:rsid w:val="00D013C1"/>
    <w:rsid w:val="00D06075"/>
    <w:rsid w:val="00D06386"/>
    <w:rsid w:val="00D06A09"/>
    <w:rsid w:val="00D10344"/>
    <w:rsid w:val="00D2664B"/>
    <w:rsid w:val="00D420F1"/>
    <w:rsid w:val="00D772E9"/>
    <w:rsid w:val="00DC772C"/>
    <w:rsid w:val="00DE1774"/>
    <w:rsid w:val="00DE3DCA"/>
    <w:rsid w:val="00E22396"/>
    <w:rsid w:val="00E4248F"/>
    <w:rsid w:val="00E533DC"/>
    <w:rsid w:val="00EA4B57"/>
    <w:rsid w:val="00EA6139"/>
    <w:rsid w:val="00EC62BC"/>
    <w:rsid w:val="00EE51DB"/>
    <w:rsid w:val="00EE70A0"/>
    <w:rsid w:val="00EF766E"/>
    <w:rsid w:val="00F26E40"/>
    <w:rsid w:val="00F34B0A"/>
    <w:rsid w:val="00F63948"/>
    <w:rsid w:val="00F66335"/>
    <w:rsid w:val="00F71CA1"/>
    <w:rsid w:val="00F84C62"/>
    <w:rsid w:val="00FA525E"/>
    <w:rsid w:val="00FD00C8"/>
    <w:rsid w:val="00FD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5784"/>
  <w15:chartTrackingRefBased/>
  <w15:docId w15:val="{4CF6F9DF-FD82-489F-9C15-E0B5EBD5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BD0"/>
    <w:pPr>
      <w:ind w:left="720"/>
      <w:contextualSpacing/>
    </w:pPr>
  </w:style>
  <w:style w:type="table" w:styleId="a4">
    <w:name w:val="Table Grid"/>
    <w:basedOn w:val="a1"/>
    <w:uiPriority w:val="39"/>
    <w:rsid w:val="00971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15E7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A6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6139"/>
  </w:style>
  <w:style w:type="paragraph" w:styleId="a8">
    <w:name w:val="footer"/>
    <w:basedOn w:val="a"/>
    <w:link w:val="a9"/>
    <w:uiPriority w:val="99"/>
    <w:unhideWhenUsed/>
    <w:rsid w:val="00EA6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6139"/>
  </w:style>
  <w:style w:type="character" w:customStyle="1" w:styleId="1">
    <w:name w:val="Неразрешенное упоминание1"/>
    <w:basedOn w:val="a0"/>
    <w:uiPriority w:val="99"/>
    <w:semiHidden/>
    <w:unhideWhenUsed/>
    <w:rsid w:val="00D772E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C589F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DC77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9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math.congress@math.k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ath.congress-3@math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thcongresskz2026.com/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eEjir9oF6QL5Pp6IcZKDFWEZWdCgUrHJYfiTWMmOJR-KOxFg/viewform?usp=head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Аружан</cp:lastModifiedBy>
  <cp:revision>10</cp:revision>
  <dcterms:created xsi:type="dcterms:W3CDTF">2026-02-02T13:04:00Z</dcterms:created>
  <dcterms:modified xsi:type="dcterms:W3CDTF">2026-02-06T10:59:00Z</dcterms:modified>
</cp:coreProperties>
</file>